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6" w:rsidRDefault="00601EA6">
      <w:pPr>
        <w:sectPr w:rsidR="00601E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23" w:right="680" w:bottom="5189" w:left="1307" w:header="0" w:footer="3" w:gutter="0"/>
          <w:cols w:space="720"/>
          <w:noEndnote/>
          <w:titlePg/>
          <w:docGrid w:linePitch="360"/>
        </w:sectPr>
      </w:pPr>
    </w:p>
    <w:p w:rsidR="00601EA6" w:rsidRDefault="00C80CF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12700</wp:posOffset>
                </wp:positionV>
                <wp:extent cx="1112520" cy="228600"/>
                <wp:effectExtent l="0" t="0" r="0" b="0"/>
                <wp:wrapSquare wrapText="right"/>
                <wp:docPr id="362" name="Shap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1EA6" w:rsidRDefault="00C80CF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УТВЕРЖДЕН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388" type="#_x0000_t202" style="position:absolute;margin-left:323.60000000000002pt;margin-top:1.pt;width:87.599999999999994pt;height:18.pt;z-index:-1258293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УТВЕРЖДЕН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01EA6" w:rsidRDefault="00C80CFC">
      <w:pPr>
        <w:pStyle w:val="1"/>
        <w:shd w:val="clear" w:color="auto" w:fill="auto"/>
        <w:spacing w:line="175" w:lineRule="auto"/>
        <w:ind w:left="5120" w:hanging="5120"/>
      </w:pPr>
      <w:r>
        <w:t>приказом Министерства сельского хозяйства и продовольствия Пермского края</w:t>
      </w:r>
    </w:p>
    <w:p w:rsidR="00601EA6" w:rsidRDefault="00C80CFC">
      <w:pPr>
        <w:pStyle w:val="1"/>
        <w:shd w:val="clear" w:color="auto" w:fill="auto"/>
        <w:spacing w:after="240" w:line="175" w:lineRule="auto"/>
        <w:ind w:left="5120" w:firstLine="0"/>
      </w:pPr>
      <w:r>
        <w:t>от 31.12.2020 № 25-01.1 -02-278</w:t>
      </w:r>
    </w:p>
    <w:p w:rsidR="00601EA6" w:rsidRDefault="00C80CFC">
      <w:pPr>
        <w:pStyle w:val="1"/>
        <w:shd w:val="clear" w:color="auto" w:fill="auto"/>
        <w:spacing w:after="340" w:line="240" w:lineRule="auto"/>
        <w:ind w:firstLine="0"/>
        <w:jc w:val="center"/>
      </w:pPr>
      <w:r>
        <w:rPr>
          <w:b/>
          <w:bCs/>
        </w:rPr>
        <w:t>Порядок выполнения государственной работы</w:t>
      </w:r>
      <w:r>
        <w:rPr>
          <w:b/>
          <w:bCs/>
        </w:rPr>
        <w:br/>
        <w:t>«Методические работы по вопросам организации и развития</w:t>
      </w:r>
      <w:r>
        <w:rPr>
          <w:b/>
          <w:bCs/>
        </w:rPr>
        <w:br/>
        <w:t>предпринимательской деятельности в области сельского хозяйства,</w:t>
      </w:r>
      <w:r>
        <w:rPr>
          <w:b/>
          <w:bCs/>
        </w:rPr>
        <w:br/>
        <w:t>сельскохозяйственной кооперации».</w:t>
      </w:r>
    </w:p>
    <w:p w:rsidR="00601EA6" w:rsidRDefault="00C80CFC">
      <w:pPr>
        <w:pStyle w:val="1"/>
        <w:numPr>
          <w:ilvl w:val="0"/>
          <w:numId w:val="99"/>
        </w:numPr>
        <w:shd w:val="clear" w:color="auto" w:fill="auto"/>
        <w:tabs>
          <w:tab w:val="left" w:pos="279"/>
        </w:tabs>
        <w:spacing w:after="340" w:line="269" w:lineRule="auto"/>
        <w:ind w:firstLine="0"/>
        <w:jc w:val="center"/>
      </w:pPr>
      <w:r>
        <w:t>Общие положения.</w:t>
      </w:r>
    </w:p>
    <w:p w:rsidR="00601EA6" w:rsidRDefault="00C80CFC">
      <w:pPr>
        <w:pStyle w:val="1"/>
        <w:numPr>
          <w:ilvl w:val="0"/>
          <w:numId w:val="100"/>
        </w:numPr>
        <w:shd w:val="clear" w:color="auto" w:fill="auto"/>
        <w:tabs>
          <w:tab w:val="left" w:pos="1478"/>
        </w:tabs>
        <w:spacing w:line="240" w:lineRule="auto"/>
        <w:ind w:firstLine="620"/>
        <w:jc w:val="both"/>
      </w:pPr>
      <w:r>
        <w:t xml:space="preserve">Порядок выполнения </w:t>
      </w:r>
      <w:bookmarkStart w:id="0" w:name="_GoBack"/>
      <w:r>
        <w:t xml:space="preserve">государственной работы «Методические работы по вопросам организации и развития предпринимательской </w:t>
      </w:r>
      <w:r>
        <w:rPr>
          <w:color w:val="4F4F4F"/>
        </w:rPr>
        <w:t xml:space="preserve">деятельности </w:t>
      </w:r>
      <w:r>
        <w:t xml:space="preserve">в области сельского хозяйства, сельскохозяйственной кооперации» </w:t>
      </w:r>
      <w:bookmarkEnd w:id="0"/>
      <w:r>
        <w:t>государственным бюджетным учреждением Пермского края «Центр компетенций в сфере сельскохозяйственной кооперации и поддержки фермеров» (далее - ГБУ ПК «Центр компетенций») разработан в целях обеспечения качественного выполнения государственной работы и определяет порядок её выполнения, сроки и последовательность процедур (действий) по выполнению государственной работы, порядок и формы контроля выполнения государственной работы, порядок обжалования решений, действий (бездействия) ГБУ ПК «Центр компетенций» при выполнении государственной работы.</w:t>
      </w:r>
    </w:p>
    <w:p w:rsidR="00601EA6" w:rsidRDefault="00C80CFC">
      <w:pPr>
        <w:pStyle w:val="1"/>
        <w:numPr>
          <w:ilvl w:val="0"/>
          <w:numId w:val="100"/>
        </w:numPr>
        <w:shd w:val="clear" w:color="auto" w:fill="auto"/>
        <w:tabs>
          <w:tab w:val="left" w:pos="1478"/>
        </w:tabs>
        <w:spacing w:line="269" w:lineRule="auto"/>
        <w:ind w:firstLine="740"/>
        <w:jc w:val="both"/>
      </w:pPr>
      <w:r>
        <w:t>Государственная работа выполняется ГБУ ПК «Центр компетенций» в рамках осуществления своих полномочий.</w:t>
      </w:r>
    </w:p>
    <w:p w:rsidR="00601EA6" w:rsidRDefault="00C80CFC">
      <w:pPr>
        <w:pStyle w:val="1"/>
        <w:shd w:val="clear" w:color="auto" w:fill="auto"/>
        <w:spacing w:line="269" w:lineRule="auto"/>
        <w:ind w:firstLine="740"/>
        <w:jc w:val="both"/>
      </w:pPr>
      <w:r>
        <w:t>Информация о местонахождении ГБУ ПК «Центр компетенций», 1рафике работы, контактных телефонах, адресах указана в Приложении 1 к настоящему Порядку.</w:t>
      </w:r>
    </w:p>
    <w:p w:rsidR="00601EA6" w:rsidRDefault="00C80CFC">
      <w:pPr>
        <w:pStyle w:val="1"/>
        <w:numPr>
          <w:ilvl w:val="0"/>
          <w:numId w:val="100"/>
        </w:numPr>
        <w:shd w:val="clear" w:color="auto" w:fill="auto"/>
        <w:tabs>
          <w:tab w:val="left" w:pos="1265"/>
        </w:tabs>
        <w:spacing w:line="269" w:lineRule="auto"/>
        <w:ind w:firstLine="740"/>
        <w:jc w:val="both"/>
      </w:pPr>
      <w:r>
        <w:t>Категории потребителей государственной услуги (далее - Заявители) — физические и юридические лица субъекты малого и среднего предпринимательства в области сельского хозяйства, в том числе представители крестьянских фермерских хозяйств, сельскохозяйственных кооперативов, граждан, ведущих личные подсобные хозяйства на сельских территориях.</w:t>
      </w:r>
    </w:p>
    <w:p w:rsidR="00601EA6" w:rsidRDefault="00C80CFC">
      <w:pPr>
        <w:pStyle w:val="1"/>
        <w:numPr>
          <w:ilvl w:val="0"/>
          <w:numId w:val="100"/>
        </w:numPr>
        <w:shd w:val="clear" w:color="auto" w:fill="auto"/>
        <w:tabs>
          <w:tab w:val="left" w:pos="1478"/>
        </w:tabs>
        <w:spacing w:after="340" w:line="269" w:lineRule="auto"/>
        <w:ind w:firstLine="740"/>
        <w:jc w:val="both"/>
      </w:pPr>
      <w:r>
        <w:t xml:space="preserve">Порядок осуществления административных процедур </w:t>
      </w:r>
      <w:r>
        <w:rPr>
          <w:color w:val="4F4F4F"/>
        </w:rPr>
        <w:t xml:space="preserve">- </w:t>
      </w:r>
      <w:r>
        <w:t>предоставление в установленном порядке потребителям государственной работы информации о государственной работе и обеспечение доступа к ней.</w:t>
      </w:r>
    </w:p>
    <w:p w:rsidR="00601EA6" w:rsidRDefault="00C80CFC">
      <w:pPr>
        <w:pStyle w:val="1"/>
        <w:numPr>
          <w:ilvl w:val="0"/>
          <w:numId w:val="99"/>
        </w:numPr>
        <w:shd w:val="clear" w:color="auto" w:fill="auto"/>
        <w:tabs>
          <w:tab w:val="left" w:pos="370"/>
        </w:tabs>
        <w:spacing w:line="240" w:lineRule="auto"/>
        <w:ind w:firstLine="0"/>
        <w:jc w:val="center"/>
      </w:pPr>
      <w:r>
        <w:t>Стандарт выполнения государственной работы.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265"/>
        </w:tabs>
        <w:spacing w:after="340" w:line="240" w:lineRule="auto"/>
        <w:ind w:firstLine="740"/>
        <w:jc w:val="both"/>
      </w:pPr>
      <w:r>
        <w:t>Наименование государственной работы: «Методические работы по вопросам организации и развития предпринимательской деятельности в области сельского хозяйства, сельскохозяйственной кооперации».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304"/>
        </w:tabs>
        <w:ind w:firstLine="740"/>
        <w:jc w:val="both"/>
      </w:pPr>
      <w:r>
        <w:t>Государственную работу выполняет ГБУ ПК «Центр компетенций».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58"/>
        </w:tabs>
        <w:ind w:firstLine="740"/>
        <w:jc w:val="both"/>
      </w:pPr>
      <w:r>
        <w:t xml:space="preserve">Результатом выполнения государственной работы является </w:t>
      </w:r>
      <w:r>
        <w:lastRenderedPageBreak/>
        <w:t>количество подготовленных типовых документов и методических материалов (в штуках). Качественным результатом работы является доля подготовленных в установленные сроки типовых документов и методических материалов (в % от планового количества).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Темы типовых документов и методических материалов определяются Министерством сельского хозяйства и продовольствия Пермского края ежегодно.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58"/>
        </w:tabs>
        <w:ind w:firstLine="740"/>
        <w:jc w:val="both"/>
      </w:pPr>
      <w:r>
        <w:t>Срок выполнения государственной работы определяются Министерством сельского хозяйства и продовольствия Пермского края в разрезе типовых документов и методических материалов ежегодно.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Продолжительность разработки одного типового документа (методического материала) до 59 рабочих часов.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664"/>
        </w:tabs>
        <w:ind w:firstLine="740"/>
        <w:jc w:val="both"/>
      </w:pPr>
      <w:r>
        <w:t>Выполнение государственной работы осуществляется в соответствии с: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Федеральным законом от 27 июля 2010 г № 210-ФЗ «Об организации предоставления государственных и муниципальных услуг»;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Стандартом деятельности центров компетенций в сфере сельскохозяйственной кооперации и поддержки фермеров, утвержденным проектным комитетом по национальному проекту «Малый бизнес и поддержка индивидуальной предпринимательской инициативы» (протокол от 21.03.2019 №1);</w:t>
      </w:r>
    </w:p>
    <w:p w:rsidR="00601EA6" w:rsidRDefault="00C80CFC">
      <w:pPr>
        <w:pStyle w:val="1"/>
        <w:shd w:val="clear" w:color="auto" w:fill="auto"/>
        <w:ind w:firstLine="740"/>
        <w:jc w:val="both"/>
      </w:pPr>
      <w:r>
        <w:t>Распоряжением Правительства Пермского края от 05.12.2019 г № 271-рп «О создании государственного бюджетного учреждения Пермского края «Центр компетенций в сфере сельскохозяйственной кооперации и поддержки фермеров».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58"/>
        </w:tabs>
        <w:ind w:firstLine="740"/>
        <w:jc w:val="both"/>
      </w:pPr>
      <w:r>
        <w:t xml:space="preserve">Основанием для выполнения государственной работы является государственное задание, утверждаемое для ГБУ ПК «Центр компетенций» Министерством сельского хозяйства и продовольствия Пермского края (далее </w:t>
      </w:r>
      <w:r>
        <w:rPr>
          <w:color w:val="000000"/>
        </w:rPr>
        <w:t xml:space="preserve">- </w:t>
      </w:r>
      <w:r>
        <w:t>Отраслевой орган).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58"/>
        </w:tabs>
        <w:ind w:firstLine="740"/>
        <w:jc w:val="both"/>
      </w:pPr>
      <w:r>
        <w:t>Перечень оснований для приостановления выполнения государственной работы или отказа в выполнении государственной работы:</w:t>
      </w:r>
    </w:p>
    <w:p w:rsidR="00601EA6" w:rsidRDefault="00C80CFC">
      <w:pPr>
        <w:pStyle w:val="1"/>
        <w:numPr>
          <w:ilvl w:val="0"/>
          <w:numId w:val="102"/>
        </w:numPr>
        <w:shd w:val="clear" w:color="auto" w:fill="auto"/>
        <w:tabs>
          <w:tab w:val="left" w:pos="1476"/>
        </w:tabs>
        <w:ind w:firstLine="740"/>
        <w:jc w:val="both"/>
      </w:pPr>
      <w:r>
        <w:t>поступление от Отраслевого органа письменного заявления о приостановлении, отказе от выполнения государственного задания;</w:t>
      </w:r>
    </w:p>
    <w:p w:rsidR="00601EA6" w:rsidRDefault="00C80CFC">
      <w:pPr>
        <w:pStyle w:val="1"/>
        <w:numPr>
          <w:ilvl w:val="0"/>
          <w:numId w:val="102"/>
        </w:numPr>
        <w:shd w:val="clear" w:color="auto" w:fill="auto"/>
        <w:tabs>
          <w:tab w:val="left" w:pos="1490"/>
        </w:tabs>
        <w:ind w:firstLine="740"/>
        <w:jc w:val="both"/>
      </w:pPr>
      <w:r>
        <w:t>поступление задания по вопросам, не входящим в компетенцию ГБУ ПК «Центр компетенций»;</w:t>
      </w:r>
    </w:p>
    <w:p w:rsidR="00601EA6" w:rsidRDefault="00C80CFC">
      <w:pPr>
        <w:pStyle w:val="1"/>
        <w:numPr>
          <w:ilvl w:val="0"/>
          <w:numId w:val="102"/>
        </w:numPr>
        <w:shd w:val="clear" w:color="auto" w:fill="auto"/>
        <w:tabs>
          <w:tab w:val="left" w:pos="1510"/>
        </w:tabs>
        <w:ind w:firstLine="740"/>
        <w:jc w:val="both"/>
      </w:pPr>
      <w:r>
        <w:t>возникновение обстоятельств непреодолимой силы.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664"/>
          <w:tab w:val="left" w:pos="8190"/>
        </w:tabs>
        <w:ind w:firstLine="740"/>
        <w:jc w:val="both"/>
      </w:pPr>
      <w:r>
        <w:t>Перечень документов, необходимых для</w:t>
      </w:r>
      <w:r>
        <w:tab/>
        <w:t>выполнения</w:t>
      </w:r>
    </w:p>
    <w:p w:rsidR="00601EA6" w:rsidRDefault="00C80CFC">
      <w:pPr>
        <w:pStyle w:val="1"/>
        <w:shd w:val="clear" w:color="auto" w:fill="auto"/>
        <w:ind w:firstLine="0"/>
        <w:jc w:val="both"/>
      </w:pPr>
      <w:r>
        <w:t>государственной работы:</w:t>
      </w:r>
    </w:p>
    <w:p w:rsidR="00601EA6" w:rsidRDefault="00C80CFC">
      <w:pPr>
        <w:pStyle w:val="1"/>
        <w:shd w:val="clear" w:color="auto" w:fill="auto"/>
        <w:spacing w:line="269" w:lineRule="auto"/>
        <w:ind w:firstLine="740"/>
        <w:jc w:val="both"/>
      </w:pPr>
      <w:r>
        <w:t>* утвержденное Отраслевым органом и направленное в ГБУ ПК «Центр компетенций» государственное задание.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379"/>
        </w:tabs>
        <w:spacing w:line="269" w:lineRule="auto"/>
        <w:ind w:firstLine="740"/>
        <w:jc w:val="both"/>
      </w:pPr>
      <w:r>
        <w:t xml:space="preserve">Государственная работа «Методические работы по вопросам </w:t>
      </w:r>
      <w:r>
        <w:lastRenderedPageBreak/>
        <w:t>организации и развития предпринимательской деятельности в области сельского хозяйства, сельскохозяйственной кооперации» является бесплатной.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34"/>
        </w:tabs>
        <w:spacing w:line="269" w:lineRule="auto"/>
        <w:ind w:firstLine="740"/>
        <w:jc w:val="both"/>
      </w:pPr>
      <w:r>
        <w:t>Помещение, в котором выполняется государственная работа должно соответствовать следующим требованиям:</w:t>
      </w:r>
    </w:p>
    <w:p w:rsidR="00601EA6" w:rsidRDefault="00C80CFC">
      <w:pPr>
        <w:pStyle w:val="1"/>
        <w:numPr>
          <w:ilvl w:val="0"/>
          <w:numId w:val="103"/>
        </w:numPr>
        <w:shd w:val="clear" w:color="auto" w:fill="auto"/>
        <w:tabs>
          <w:tab w:val="left" w:pos="1015"/>
        </w:tabs>
        <w:spacing w:line="269" w:lineRule="auto"/>
        <w:ind w:firstLine="740"/>
        <w:jc w:val="both"/>
      </w:pPr>
      <w:r>
        <w:t>государственная работа выполняется в административном здании, отвечающим требованиям пожарной безопасности и санитарных норм;</w:t>
      </w:r>
    </w:p>
    <w:p w:rsidR="00601EA6" w:rsidRDefault="00C80CFC">
      <w:pPr>
        <w:pStyle w:val="1"/>
        <w:numPr>
          <w:ilvl w:val="0"/>
          <w:numId w:val="103"/>
        </w:numPr>
        <w:shd w:val="clear" w:color="auto" w:fill="auto"/>
        <w:tabs>
          <w:tab w:val="left" w:pos="1379"/>
        </w:tabs>
        <w:spacing w:line="269" w:lineRule="auto"/>
        <w:ind w:firstLine="740"/>
        <w:jc w:val="both"/>
      </w:pPr>
      <w:r>
        <w:t>места выполнения государственной работы оснащаются информационными материалами, оборудуются стульями, столами и канцелярскими принадлежностями;</w:t>
      </w:r>
    </w:p>
    <w:p w:rsidR="00601EA6" w:rsidRDefault="00C80CFC">
      <w:pPr>
        <w:pStyle w:val="1"/>
        <w:numPr>
          <w:ilvl w:val="0"/>
          <w:numId w:val="103"/>
        </w:numPr>
        <w:shd w:val="clear" w:color="auto" w:fill="auto"/>
        <w:tabs>
          <w:tab w:val="left" w:pos="1015"/>
        </w:tabs>
        <w:spacing w:line="269" w:lineRule="auto"/>
        <w:ind w:firstLine="740"/>
        <w:jc w:val="both"/>
      </w:pPr>
      <w:r>
        <w:t>предусматривается наличие доступных мест общего пользования (санузлов) и мест хранения верхней одежды (гардероб);</w:t>
      </w:r>
    </w:p>
    <w:p w:rsidR="00601EA6" w:rsidRDefault="00C80CFC">
      <w:pPr>
        <w:pStyle w:val="1"/>
        <w:numPr>
          <w:ilvl w:val="0"/>
          <w:numId w:val="101"/>
        </w:numPr>
        <w:shd w:val="clear" w:color="auto" w:fill="auto"/>
        <w:tabs>
          <w:tab w:val="left" w:pos="1444"/>
        </w:tabs>
        <w:spacing w:line="269" w:lineRule="auto"/>
        <w:ind w:firstLine="740"/>
        <w:jc w:val="both"/>
      </w:pPr>
      <w:r>
        <w:t>Показателем доступности является информационная открытость порядка и правил выполнения государственной работы:</w:t>
      </w:r>
    </w:p>
    <w:p w:rsidR="00601EA6" w:rsidRDefault="00C80CFC">
      <w:pPr>
        <w:pStyle w:val="1"/>
        <w:numPr>
          <w:ilvl w:val="0"/>
          <w:numId w:val="104"/>
        </w:numPr>
        <w:shd w:val="clear" w:color="auto" w:fill="auto"/>
        <w:tabs>
          <w:tab w:val="left" w:pos="1771"/>
        </w:tabs>
        <w:spacing w:line="269" w:lineRule="auto"/>
        <w:ind w:firstLine="740"/>
        <w:jc w:val="both"/>
      </w:pPr>
      <w:r>
        <w:t>Наличие полной и достоверной информации о порядке выполнения государственной работы;</w:t>
      </w:r>
    </w:p>
    <w:p w:rsidR="00601EA6" w:rsidRDefault="00C80CFC">
      <w:pPr>
        <w:pStyle w:val="1"/>
        <w:numPr>
          <w:ilvl w:val="0"/>
          <w:numId w:val="104"/>
        </w:numPr>
        <w:shd w:val="clear" w:color="auto" w:fill="auto"/>
        <w:tabs>
          <w:tab w:val="left" w:pos="1771"/>
        </w:tabs>
        <w:spacing w:line="269" w:lineRule="auto"/>
        <w:ind w:firstLine="740"/>
        <w:jc w:val="both"/>
      </w:pPr>
      <w:r>
        <w:t>Возможность при выполнении государственной работы пользоваться интерактивными сервисами сети Интернет;</w:t>
      </w:r>
    </w:p>
    <w:p w:rsidR="00601EA6" w:rsidRDefault="00C80CFC">
      <w:pPr>
        <w:pStyle w:val="1"/>
        <w:numPr>
          <w:ilvl w:val="0"/>
          <w:numId w:val="104"/>
        </w:numPr>
        <w:shd w:val="clear" w:color="auto" w:fill="auto"/>
        <w:tabs>
          <w:tab w:val="left" w:pos="1771"/>
        </w:tabs>
        <w:spacing w:after="320" w:line="269" w:lineRule="auto"/>
        <w:ind w:firstLine="740"/>
        <w:jc w:val="both"/>
      </w:pPr>
      <w:r>
        <w:t>Наличие информации о выполнении государственной работы в сети Интернет и на стендах с информацией.</w:t>
      </w:r>
    </w:p>
    <w:p w:rsidR="00601EA6" w:rsidRDefault="00C80CFC">
      <w:pPr>
        <w:pStyle w:val="11"/>
        <w:keepNext/>
        <w:keepLines/>
        <w:numPr>
          <w:ilvl w:val="0"/>
          <w:numId w:val="99"/>
        </w:numPr>
        <w:shd w:val="clear" w:color="auto" w:fill="auto"/>
        <w:tabs>
          <w:tab w:val="left" w:pos="1525"/>
        </w:tabs>
        <w:spacing w:after="320" w:line="269" w:lineRule="auto"/>
      </w:pPr>
      <w:bookmarkStart w:id="1" w:name="bookmark54"/>
      <w:bookmarkStart w:id="2" w:name="bookmark55"/>
      <w:r>
        <w:t>Состав, последовательность и сроки выполнения</w:t>
      </w:r>
      <w:r>
        <w:br/>
        <w:t>административных процедур, требования к порядку их выполнения</w:t>
      </w:r>
      <w:bookmarkEnd w:id="1"/>
      <w:bookmarkEnd w:id="2"/>
    </w:p>
    <w:p w:rsidR="00601EA6" w:rsidRDefault="00C80CFC">
      <w:pPr>
        <w:pStyle w:val="1"/>
        <w:numPr>
          <w:ilvl w:val="0"/>
          <w:numId w:val="105"/>
        </w:numPr>
        <w:shd w:val="clear" w:color="auto" w:fill="auto"/>
        <w:tabs>
          <w:tab w:val="left" w:pos="1379"/>
        </w:tabs>
        <w:spacing w:line="240" w:lineRule="auto"/>
        <w:ind w:firstLine="740"/>
        <w:jc w:val="both"/>
      </w:pPr>
      <w:r>
        <w:t>Состав административных процедур по выполнению государственной работы включает:</w:t>
      </w:r>
    </w:p>
    <w:p w:rsidR="00601EA6" w:rsidRDefault="00C80CFC">
      <w:pPr>
        <w:pStyle w:val="1"/>
        <w:numPr>
          <w:ilvl w:val="0"/>
          <w:numId w:val="106"/>
        </w:numPr>
        <w:shd w:val="clear" w:color="auto" w:fill="auto"/>
        <w:tabs>
          <w:tab w:val="left" w:pos="1540"/>
          <w:tab w:val="left" w:pos="3313"/>
        </w:tabs>
        <w:spacing w:line="240" w:lineRule="auto"/>
        <w:ind w:firstLine="740"/>
        <w:jc w:val="both"/>
      </w:pPr>
      <w:r>
        <w:t>Определение</w:t>
      </w:r>
      <w:r>
        <w:tab/>
        <w:t>вида и структуры типовой документации</w:t>
      </w:r>
    </w:p>
    <w:p w:rsidR="00601EA6" w:rsidRDefault="00C80CFC">
      <w:pPr>
        <w:pStyle w:val="1"/>
        <w:shd w:val="clear" w:color="auto" w:fill="auto"/>
        <w:spacing w:line="240" w:lineRule="auto"/>
        <w:ind w:firstLine="0"/>
        <w:jc w:val="both"/>
      </w:pPr>
      <w:r>
        <w:t>(методических рекомендаций) по темам, определенным Отраслевым органом;</w:t>
      </w:r>
    </w:p>
    <w:p w:rsidR="00601EA6" w:rsidRDefault="00C80CFC">
      <w:pPr>
        <w:pStyle w:val="1"/>
        <w:shd w:val="clear" w:color="auto" w:fill="auto"/>
        <w:spacing w:line="240" w:lineRule="auto"/>
        <w:ind w:firstLine="740"/>
        <w:jc w:val="both"/>
      </w:pPr>
      <w:r>
        <w:t>3.1.2 Создание типовой документации (методических рекомендаций);</w:t>
      </w:r>
    </w:p>
    <w:p w:rsidR="00601EA6" w:rsidRDefault="00C80CFC">
      <w:pPr>
        <w:pStyle w:val="1"/>
        <w:numPr>
          <w:ilvl w:val="0"/>
          <w:numId w:val="107"/>
        </w:numPr>
        <w:shd w:val="clear" w:color="auto" w:fill="auto"/>
        <w:tabs>
          <w:tab w:val="left" w:pos="1664"/>
        </w:tabs>
        <w:spacing w:line="240" w:lineRule="auto"/>
        <w:ind w:firstLine="740"/>
        <w:jc w:val="both"/>
      </w:pPr>
      <w:r>
        <w:t>Создание инструкции по использованию типовой документации (методических рекомендаций);</w:t>
      </w:r>
    </w:p>
    <w:p w:rsidR="00601EA6" w:rsidRDefault="00C80CFC">
      <w:pPr>
        <w:pStyle w:val="1"/>
        <w:numPr>
          <w:ilvl w:val="0"/>
          <w:numId w:val="107"/>
        </w:numPr>
        <w:shd w:val="clear" w:color="auto" w:fill="auto"/>
        <w:tabs>
          <w:tab w:val="left" w:pos="1771"/>
        </w:tabs>
        <w:spacing w:line="240" w:lineRule="auto"/>
        <w:ind w:firstLine="740"/>
        <w:jc w:val="both"/>
      </w:pPr>
      <w:r>
        <w:t>Предоставление типовой документации (методических рекомендаций) отраслевому органу в составе квартальной отчетности;</w:t>
      </w:r>
    </w:p>
    <w:p w:rsidR="00601EA6" w:rsidRDefault="00C80CFC">
      <w:pPr>
        <w:pStyle w:val="1"/>
        <w:numPr>
          <w:ilvl w:val="0"/>
          <w:numId w:val="107"/>
        </w:numPr>
        <w:shd w:val="clear" w:color="auto" w:fill="auto"/>
        <w:tabs>
          <w:tab w:val="left" w:pos="1511"/>
        </w:tabs>
        <w:spacing w:line="240" w:lineRule="auto"/>
        <w:ind w:firstLine="740"/>
        <w:jc w:val="both"/>
      </w:pPr>
      <w:r>
        <w:t>Размещение типовой документации (методических рекомендаций) на сайте ГБУ ПК «Центр компетенций» при условии принятия квартальной отчетности, содержащей соответствующую типовую документацию (методических рекомендаций), отраслевым органом.</w:t>
      </w:r>
    </w:p>
    <w:p w:rsidR="00601EA6" w:rsidRDefault="00C80CFC">
      <w:pPr>
        <w:pStyle w:val="11"/>
        <w:keepNext/>
        <w:keepLines/>
        <w:numPr>
          <w:ilvl w:val="0"/>
          <w:numId w:val="99"/>
        </w:numPr>
        <w:shd w:val="clear" w:color="auto" w:fill="auto"/>
        <w:tabs>
          <w:tab w:val="left" w:pos="495"/>
        </w:tabs>
        <w:spacing w:after="380" w:line="240" w:lineRule="auto"/>
      </w:pPr>
      <w:bookmarkStart w:id="3" w:name="bookmark56"/>
      <w:bookmarkStart w:id="4" w:name="bookmark57"/>
      <w:r>
        <w:t>Контроль выполнения государственной работы</w:t>
      </w:r>
      <w:bookmarkEnd w:id="3"/>
      <w:bookmarkEnd w:id="4"/>
    </w:p>
    <w:p w:rsidR="00601EA6" w:rsidRDefault="00C80CFC">
      <w:pPr>
        <w:pStyle w:val="1"/>
        <w:numPr>
          <w:ilvl w:val="0"/>
          <w:numId w:val="108"/>
        </w:numPr>
        <w:shd w:val="clear" w:color="auto" w:fill="auto"/>
        <w:tabs>
          <w:tab w:val="left" w:pos="1302"/>
        </w:tabs>
        <w:spacing w:line="269" w:lineRule="auto"/>
        <w:ind w:firstLine="720"/>
        <w:jc w:val="both"/>
      </w:pPr>
      <w:r>
        <w:t xml:space="preserve">В ГБУ ПК «Центр компетенций» текущий контроль осуществляется постоянно, по каждой процедуре, в соответствии с установленными настоящим Порядком содержанием и сроками выполнения действий, а также путем проведения руководителем ГБУ ПК «Центр компетенций» или уполномоченным </w:t>
      </w:r>
      <w:r>
        <w:lastRenderedPageBreak/>
        <w:t>лицом плановых проверок исполнения работниками положений настоящего Порядка, иных нормативных правовых актов Российской Федерации, в порядке и сроки, установленные приказом ГБУ ПК «Центр компетенций».</w:t>
      </w:r>
    </w:p>
    <w:p w:rsidR="00601EA6" w:rsidRDefault="00C80CFC">
      <w:pPr>
        <w:pStyle w:val="1"/>
        <w:shd w:val="clear" w:color="auto" w:fill="auto"/>
        <w:spacing w:line="269" w:lineRule="auto"/>
        <w:ind w:firstLine="720"/>
        <w:jc w:val="both"/>
      </w:pPr>
      <w:r>
        <w:t>Внеплановые проверки выполнения государственной работы проводятся при поступлении жалоб от получателей государственной работы.</w:t>
      </w:r>
    </w:p>
    <w:p w:rsidR="00601EA6" w:rsidRDefault="00C80CFC">
      <w:pPr>
        <w:pStyle w:val="1"/>
        <w:numPr>
          <w:ilvl w:val="0"/>
          <w:numId w:val="108"/>
        </w:numPr>
        <w:shd w:val="clear" w:color="auto" w:fill="auto"/>
        <w:tabs>
          <w:tab w:val="left" w:pos="1302"/>
        </w:tabs>
        <w:spacing w:line="269" w:lineRule="auto"/>
        <w:ind w:firstLine="720"/>
        <w:jc w:val="both"/>
      </w:pPr>
      <w:r>
        <w:t>Контроль выполнения государственной работы осуществляется в виде проверки и анализа предоставленной отчетности об исполнении государственного задания в соответствии с порядком и в сроки, определенные настоящим Порядком.</w:t>
      </w:r>
    </w:p>
    <w:p w:rsidR="00601EA6" w:rsidRDefault="00C80CFC">
      <w:pPr>
        <w:pStyle w:val="1"/>
        <w:numPr>
          <w:ilvl w:val="0"/>
          <w:numId w:val="108"/>
        </w:numPr>
        <w:shd w:val="clear" w:color="auto" w:fill="auto"/>
        <w:tabs>
          <w:tab w:val="left" w:pos="1302"/>
        </w:tabs>
        <w:spacing w:line="269" w:lineRule="auto"/>
        <w:ind w:firstLine="720"/>
        <w:jc w:val="both"/>
        <w:sectPr w:rsidR="00601EA6">
          <w:pgSz w:w="11900" w:h="16840"/>
          <w:pgMar w:top="1282" w:right="772" w:bottom="881" w:left="1341" w:header="0" w:footer="3" w:gutter="0"/>
          <w:cols w:space="720"/>
          <w:noEndnote/>
          <w:docGrid w:linePitch="360"/>
        </w:sectPr>
      </w:pPr>
      <w:r>
        <w:t>Основанием для проведения Отраслевым органом внеплановых проверок выполнения государственной работы является информация о нарушении положений настоящего Порядка, иных нормативных правовых актов, устанавливающих требования к выполнению государственной рабо</w:t>
      </w:r>
      <w:r w:rsidR="00494128">
        <w:t>ты.</w:t>
      </w:r>
    </w:p>
    <w:p w:rsidR="00601EA6" w:rsidRDefault="00601EA6" w:rsidP="00494128">
      <w:pPr>
        <w:pStyle w:val="1"/>
        <w:shd w:val="clear" w:color="auto" w:fill="auto"/>
        <w:spacing w:after="960" w:line="240" w:lineRule="auto"/>
        <w:ind w:firstLine="0"/>
      </w:pPr>
    </w:p>
    <w:sectPr w:rsidR="00601EA6" w:rsidSect="00494128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704" w:right="423" w:bottom="6758" w:left="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28" w:rsidRDefault="00236828">
      <w:r>
        <w:separator/>
      </w:r>
    </w:p>
  </w:endnote>
  <w:endnote w:type="continuationSeparator" w:id="0">
    <w:p w:rsidR="00236828" w:rsidRDefault="0023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29920" behindDoc="1" locked="0" layoutInCell="1" allowOverlap="1">
              <wp:simplePos x="0" y="0"/>
              <wp:positionH relativeFrom="page">
                <wp:posOffset>45085</wp:posOffset>
              </wp:positionH>
              <wp:positionV relativeFrom="page">
                <wp:posOffset>10394315</wp:posOffset>
              </wp:positionV>
              <wp:extent cx="5035550" cy="204470"/>
              <wp:effectExtent l="0" t="0" r="0" b="0"/>
              <wp:wrapNone/>
              <wp:docPr id="352" name="Shape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12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2" o:spid="_x0000_s1027" type="#_x0000_t202" style="position:absolute;margin-left:3.55pt;margin-top:818.45pt;width:396.5pt;height:16.1pt;z-index:-251586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12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30944" behindDoc="1" locked="0" layoutInCell="1" allowOverlap="1">
              <wp:simplePos x="0" y="0"/>
              <wp:positionH relativeFrom="page">
                <wp:posOffset>7357745</wp:posOffset>
              </wp:positionH>
              <wp:positionV relativeFrom="page">
                <wp:posOffset>10424795</wp:posOffset>
              </wp:positionV>
              <wp:extent cx="125095" cy="158750"/>
              <wp:effectExtent l="0" t="0" r="0" b="0"/>
              <wp:wrapNone/>
              <wp:docPr id="354" name="Shape 3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0" type="#_x0000_t202" style="position:absolute;margin-left:579.35000000000002pt;margin-top:820.85000000000002pt;width:9.8499999999999996pt;height:12.5pt;z-index:-1887438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5472" behindDoc="1" locked="0" layoutInCell="1" allowOverlap="1">
              <wp:simplePos x="0" y="0"/>
              <wp:positionH relativeFrom="page">
                <wp:posOffset>-31115</wp:posOffset>
              </wp:positionH>
              <wp:positionV relativeFrom="page">
                <wp:posOffset>10328910</wp:posOffset>
              </wp:positionV>
              <wp:extent cx="7555865" cy="0"/>
              <wp:effectExtent l="0" t="0" r="0" b="0"/>
              <wp:wrapNone/>
              <wp:docPr id="356" name="Shape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4500000000000002pt;margin-top:813.2999999999999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27872" behindDoc="1" locked="0" layoutInCell="1" allowOverlap="1">
              <wp:simplePos x="0" y="0"/>
              <wp:positionH relativeFrom="page">
                <wp:posOffset>45085</wp:posOffset>
              </wp:positionH>
              <wp:positionV relativeFrom="page">
                <wp:posOffset>10394315</wp:posOffset>
              </wp:positionV>
              <wp:extent cx="5035550" cy="204470"/>
              <wp:effectExtent l="0" t="0" r="0" b="0"/>
              <wp:wrapNone/>
              <wp:docPr id="347" name="Shape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12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7" o:spid="_x0000_s1029" type="#_x0000_t202" style="position:absolute;margin-left:3.55pt;margin-top:818.45pt;width:396.5pt;height:16.1pt;z-index:-251588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12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28896" behindDoc="1" locked="0" layoutInCell="1" allowOverlap="1">
              <wp:simplePos x="0" y="0"/>
              <wp:positionH relativeFrom="page">
                <wp:posOffset>7357745</wp:posOffset>
              </wp:positionH>
              <wp:positionV relativeFrom="page">
                <wp:posOffset>10424795</wp:posOffset>
              </wp:positionV>
              <wp:extent cx="125095" cy="158750"/>
              <wp:effectExtent l="0" t="0" r="0" b="0"/>
              <wp:wrapNone/>
              <wp:docPr id="349" name="Shape 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5" type="#_x0000_t202" style="position:absolute;margin-left:579.35000000000002pt;margin-top:820.85000000000002pt;width:9.8499999999999996pt;height:12.5pt;z-index:-1887438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6496" behindDoc="1" locked="0" layoutInCell="1" allowOverlap="1">
              <wp:simplePos x="0" y="0"/>
              <wp:positionH relativeFrom="page">
                <wp:posOffset>-31115</wp:posOffset>
              </wp:positionH>
              <wp:positionV relativeFrom="page">
                <wp:posOffset>10328910</wp:posOffset>
              </wp:positionV>
              <wp:extent cx="7555865" cy="0"/>
              <wp:effectExtent l="0" t="0" r="0" b="0"/>
              <wp:wrapNone/>
              <wp:docPr id="351" name="Shape 3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2.4500000000000002pt;margin-top:813.2999999999999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31968" behindDoc="1" locked="0" layoutInCell="1" allowOverlap="1">
              <wp:simplePos x="0" y="0"/>
              <wp:positionH relativeFrom="page">
                <wp:posOffset>7400290</wp:posOffset>
              </wp:positionH>
              <wp:positionV relativeFrom="page">
                <wp:posOffset>10347325</wp:posOffset>
              </wp:positionV>
              <wp:extent cx="125095" cy="228600"/>
              <wp:effectExtent l="0" t="0" r="0" b="0"/>
              <wp:wrapNone/>
              <wp:docPr id="357" name="Shape 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0201F"/>
                              <w:sz w:val="17"/>
                              <w:szCs w:val="17"/>
                            </w:rPr>
                            <w:t>и»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3" type="#_x0000_t202" style="position:absolute;margin-left:582.70000000000005pt;margin-top:814.75pt;width:9.8499999999999996pt;height:18.pt;z-index:-1887438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20201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и»</w:t>
                    </w:r>
                  </w:p>
                  <w:p>
                    <w:pPr>
                      <w:pStyle w:val="Style1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732992" behindDoc="1" locked="0" layoutInCell="1" allowOverlap="1">
              <wp:simplePos x="0" y="0"/>
              <wp:positionH relativeFrom="page">
                <wp:posOffset>88265</wp:posOffset>
              </wp:positionH>
              <wp:positionV relativeFrom="page">
                <wp:posOffset>10386695</wp:posOffset>
              </wp:positionV>
              <wp:extent cx="5035550" cy="204470"/>
              <wp:effectExtent l="0" t="0" r="0" b="0"/>
              <wp:wrapNone/>
              <wp:docPr id="359" name="Shape 3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>Документ создан в электронной форме. № 25-01.1-02-278 от 31.12.2020. Исполнитель: Ременщикова С.Ю.</w:t>
                          </w:r>
                        </w:p>
                        <w:p w:rsidR="00601EA6" w:rsidRDefault="00C80CFC">
                          <w:pPr>
                            <w:pStyle w:val="ab"/>
                            <w:shd w:val="clear" w:color="auto" w:fill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1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9" o:spid="_x0000_s1032" type="#_x0000_t202" style="position:absolute;margin-left:6.95pt;margin-top:817.85pt;width:396.5pt;height:16.1pt;z-index:-251583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" filled="f" stroked="f">
              <v:textbox style="mso-fit-shape-to-text:t" inset="0,0,0,0">
                <w:txbxContent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>Документ создан в электронной форме. № 25-01.1-02-278 от 31.12.2020. Исполнитель: Ременщикова С.Ю.</w:t>
                    </w:r>
                  </w:p>
                  <w:p w:rsidR="00601EA6" w:rsidRDefault="00C80CFC">
                    <w:pPr>
                      <w:pStyle w:val="ab"/>
                      <w:shd w:val="clear" w:color="auto" w:fill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1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10336530</wp:posOffset>
              </wp:positionV>
              <wp:extent cx="7555865" cy="0"/>
              <wp:effectExtent l="0" t="0" r="0" b="0"/>
              <wp:wrapNone/>
              <wp:docPr id="361" name="Shape 3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3.89999999999998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28" w:rsidRDefault="00236828"/>
  </w:footnote>
  <w:footnote w:type="continuationSeparator" w:id="0">
    <w:p w:rsidR="00236828" w:rsidRDefault="00236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45"/>
    <w:multiLevelType w:val="multilevel"/>
    <w:tmpl w:val="CB9E046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1D97"/>
    <w:multiLevelType w:val="multilevel"/>
    <w:tmpl w:val="AD4815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85306"/>
    <w:multiLevelType w:val="multilevel"/>
    <w:tmpl w:val="A60CB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219EA"/>
    <w:multiLevelType w:val="multilevel"/>
    <w:tmpl w:val="C7CEE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70281"/>
    <w:multiLevelType w:val="multilevel"/>
    <w:tmpl w:val="A1CE01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513CF"/>
    <w:multiLevelType w:val="multilevel"/>
    <w:tmpl w:val="3774AC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10FD8"/>
    <w:multiLevelType w:val="multilevel"/>
    <w:tmpl w:val="F4B0BA70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22CBA"/>
    <w:multiLevelType w:val="multilevel"/>
    <w:tmpl w:val="19A4F7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6D2925"/>
    <w:multiLevelType w:val="multilevel"/>
    <w:tmpl w:val="4308DC96"/>
    <w:lvl w:ilvl="0">
      <w:start w:val="6"/>
      <w:numFmt w:val="decimal"/>
      <w:lvlText w:val="2.6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6E4F21"/>
    <w:multiLevelType w:val="multilevel"/>
    <w:tmpl w:val="C67C3BA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B3375C"/>
    <w:multiLevelType w:val="multilevel"/>
    <w:tmpl w:val="19D2F0D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0E3A3C"/>
    <w:multiLevelType w:val="multilevel"/>
    <w:tmpl w:val="9738ACA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3F4EFE"/>
    <w:multiLevelType w:val="multilevel"/>
    <w:tmpl w:val="629C8D58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B03BFA"/>
    <w:multiLevelType w:val="multilevel"/>
    <w:tmpl w:val="390C117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BC5968"/>
    <w:multiLevelType w:val="multilevel"/>
    <w:tmpl w:val="49B88E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325720"/>
    <w:multiLevelType w:val="multilevel"/>
    <w:tmpl w:val="5C6E6068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4F117D"/>
    <w:multiLevelType w:val="multilevel"/>
    <w:tmpl w:val="2822F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643C84"/>
    <w:multiLevelType w:val="multilevel"/>
    <w:tmpl w:val="C316A470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D539E2"/>
    <w:multiLevelType w:val="multilevel"/>
    <w:tmpl w:val="A508D4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E4750A"/>
    <w:multiLevelType w:val="multilevel"/>
    <w:tmpl w:val="B3ECFE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7566CF"/>
    <w:multiLevelType w:val="multilevel"/>
    <w:tmpl w:val="B3D0D4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AB7A08"/>
    <w:multiLevelType w:val="multilevel"/>
    <w:tmpl w:val="96A24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0E55D1"/>
    <w:multiLevelType w:val="multilevel"/>
    <w:tmpl w:val="DBE801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3359BA"/>
    <w:multiLevelType w:val="multilevel"/>
    <w:tmpl w:val="10700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D22C1A"/>
    <w:multiLevelType w:val="multilevel"/>
    <w:tmpl w:val="2FBCB63A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A11859"/>
    <w:multiLevelType w:val="multilevel"/>
    <w:tmpl w:val="675A42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D5526B"/>
    <w:multiLevelType w:val="multilevel"/>
    <w:tmpl w:val="47B8D9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2A1F57"/>
    <w:multiLevelType w:val="multilevel"/>
    <w:tmpl w:val="F8C40BD4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7A2BD0"/>
    <w:multiLevelType w:val="multilevel"/>
    <w:tmpl w:val="223E0356"/>
    <w:lvl w:ilvl="0">
      <w:start w:val="2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382004"/>
    <w:multiLevelType w:val="multilevel"/>
    <w:tmpl w:val="0592EA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CC4551"/>
    <w:multiLevelType w:val="multilevel"/>
    <w:tmpl w:val="DD2A397E"/>
    <w:lvl w:ilvl="0">
      <w:start w:val="1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9A2DAD"/>
    <w:multiLevelType w:val="multilevel"/>
    <w:tmpl w:val="1292DE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82F0AF6"/>
    <w:multiLevelType w:val="multilevel"/>
    <w:tmpl w:val="4938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6C3B64"/>
    <w:multiLevelType w:val="multilevel"/>
    <w:tmpl w:val="58FE89C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7746EE"/>
    <w:multiLevelType w:val="multilevel"/>
    <w:tmpl w:val="A5CE68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AF0551"/>
    <w:multiLevelType w:val="multilevel"/>
    <w:tmpl w:val="306E65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990D11"/>
    <w:multiLevelType w:val="multilevel"/>
    <w:tmpl w:val="E74838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92181B"/>
    <w:multiLevelType w:val="multilevel"/>
    <w:tmpl w:val="0CE61760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EF2E57"/>
    <w:multiLevelType w:val="multilevel"/>
    <w:tmpl w:val="DFF68B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40A3F50"/>
    <w:multiLevelType w:val="multilevel"/>
    <w:tmpl w:val="40B00FA2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58064D"/>
    <w:multiLevelType w:val="multilevel"/>
    <w:tmpl w:val="CC2EAB8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FE509A"/>
    <w:multiLevelType w:val="multilevel"/>
    <w:tmpl w:val="F9E2FC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11415D"/>
    <w:multiLevelType w:val="multilevel"/>
    <w:tmpl w:val="8826C3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77614A8"/>
    <w:multiLevelType w:val="multilevel"/>
    <w:tmpl w:val="2892D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7F47CCD"/>
    <w:multiLevelType w:val="multilevel"/>
    <w:tmpl w:val="11E0461E"/>
    <w:lvl w:ilvl="0">
      <w:start w:val="4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8B909E9"/>
    <w:multiLevelType w:val="multilevel"/>
    <w:tmpl w:val="C5689C3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E75BC2"/>
    <w:multiLevelType w:val="multilevel"/>
    <w:tmpl w:val="F3606BFE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98C199D"/>
    <w:multiLevelType w:val="multilevel"/>
    <w:tmpl w:val="8D4AC6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9C244A0"/>
    <w:multiLevelType w:val="multilevel"/>
    <w:tmpl w:val="C5F4B2C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9F60C0E"/>
    <w:multiLevelType w:val="multilevel"/>
    <w:tmpl w:val="4F40BBA6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C97F48"/>
    <w:multiLevelType w:val="multilevel"/>
    <w:tmpl w:val="A1E2CD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2361CB"/>
    <w:multiLevelType w:val="multilevel"/>
    <w:tmpl w:val="C59C7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665C3C"/>
    <w:multiLevelType w:val="multilevel"/>
    <w:tmpl w:val="7A963AE6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3C3C7D"/>
    <w:multiLevelType w:val="multilevel"/>
    <w:tmpl w:val="B33EDE9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593169C"/>
    <w:multiLevelType w:val="multilevel"/>
    <w:tmpl w:val="0EFC3E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091D5D"/>
    <w:multiLevelType w:val="multilevel"/>
    <w:tmpl w:val="5C00D2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C9364A"/>
    <w:multiLevelType w:val="multilevel"/>
    <w:tmpl w:val="EE5E556A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C82E87"/>
    <w:multiLevelType w:val="multilevel"/>
    <w:tmpl w:val="578296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BF42F05"/>
    <w:multiLevelType w:val="multilevel"/>
    <w:tmpl w:val="1C928BF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723FD7"/>
    <w:multiLevelType w:val="multilevel"/>
    <w:tmpl w:val="D1727E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864A44"/>
    <w:multiLevelType w:val="multilevel"/>
    <w:tmpl w:val="ACC80F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1D0731"/>
    <w:multiLevelType w:val="multilevel"/>
    <w:tmpl w:val="0B8A11D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AC34B0"/>
    <w:multiLevelType w:val="multilevel"/>
    <w:tmpl w:val="29BEB0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D27BE4"/>
    <w:multiLevelType w:val="multilevel"/>
    <w:tmpl w:val="49EA232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5E64D7F"/>
    <w:multiLevelType w:val="multilevel"/>
    <w:tmpl w:val="850CA5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0C04ED"/>
    <w:multiLevelType w:val="multilevel"/>
    <w:tmpl w:val="5EA2C5EC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2545F5"/>
    <w:multiLevelType w:val="multilevel"/>
    <w:tmpl w:val="2CF4EC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4D249A"/>
    <w:multiLevelType w:val="multilevel"/>
    <w:tmpl w:val="9EE6478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4A46B73"/>
    <w:multiLevelType w:val="multilevel"/>
    <w:tmpl w:val="BFA2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753EB3"/>
    <w:multiLevelType w:val="multilevel"/>
    <w:tmpl w:val="1B8637D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72C7329"/>
    <w:multiLevelType w:val="multilevel"/>
    <w:tmpl w:val="90F0E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8C70BB8"/>
    <w:multiLevelType w:val="multilevel"/>
    <w:tmpl w:val="985EB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1675F"/>
    <w:multiLevelType w:val="multilevel"/>
    <w:tmpl w:val="0C5A4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F533D7"/>
    <w:multiLevelType w:val="multilevel"/>
    <w:tmpl w:val="0B3C3742"/>
    <w:lvl w:ilvl="0">
      <w:start w:val="1"/>
      <w:numFmt w:val="decimal"/>
      <w:lvlText w:val="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0E371B"/>
    <w:multiLevelType w:val="multilevel"/>
    <w:tmpl w:val="9E6C4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D2341FC"/>
    <w:multiLevelType w:val="multilevel"/>
    <w:tmpl w:val="490A6A1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D4C7600"/>
    <w:multiLevelType w:val="multilevel"/>
    <w:tmpl w:val="38F2E80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404D75"/>
    <w:multiLevelType w:val="multilevel"/>
    <w:tmpl w:val="7CC4E74E"/>
    <w:lvl w:ilvl="0">
      <w:start w:val="2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A55CF0"/>
    <w:multiLevelType w:val="multilevel"/>
    <w:tmpl w:val="459A998C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BF3E22"/>
    <w:multiLevelType w:val="multilevel"/>
    <w:tmpl w:val="B70488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412A0B"/>
    <w:multiLevelType w:val="multilevel"/>
    <w:tmpl w:val="2F728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26601B"/>
    <w:multiLevelType w:val="multilevel"/>
    <w:tmpl w:val="6E345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4805F2A"/>
    <w:multiLevelType w:val="multilevel"/>
    <w:tmpl w:val="173CADA6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E96946"/>
    <w:multiLevelType w:val="multilevel"/>
    <w:tmpl w:val="EA426C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9BD383F"/>
    <w:multiLevelType w:val="multilevel"/>
    <w:tmpl w:val="0CEC30B4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C4E389D"/>
    <w:multiLevelType w:val="multilevel"/>
    <w:tmpl w:val="3B4AF712"/>
    <w:lvl w:ilvl="0">
      <w:start w:val="4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CAE188C"/>
    <w:multiLevelType w:val="multilevel"/>
    <w:tmpl w:val="E07CA7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E9F20F1"/>
    <w:multiLevelType w:val="multilevel"/>
    <w:tmpl w:val="E976DE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B306D5"/>
    <w:multiLevelType w:val="multilevel"/>
    <w:tmpl w:val="B6846D6A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F636B82"/>
    <w:multiLevelType w:val="multilevel"/>
    <w:tmpl w:val="61E4C3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02D4386"/>
    <w:multiLevelType w:val="multilevel"/>
    <w:tmpl w:val="70BA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0AA0841"/>
    <w:multiLevelType w:val="multilevel"/>
    <w:tmpl w:val="8E528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21859A9"/>
    <w:multiLevelType w:val="multilevel"/>
    <w:tmpl w:val="C220E1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AB4B19"/>
    <w:multiLevelType w:val="multilevel"/>
    <w:tmpl w:val="6F0C9CF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C73B0"/>
    <w:multiLevelType w:val="multilevel"/>
    <w:tmpl w:val="F7226CE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74630A"/>
    <w:multiLevelType w:val="multilevel"/>
    <w:tmpl w:val="95964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4AE0FFA"/>
    <w:multiLevelType w:val="multilevel"/>
    <w:tmpl w:val="2E467D2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F324F2"/>
    <w:multiLevelType w:val="multilevel"/>
    <w:tmpl w:val="09BA5D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3E4706"/>
    <w:multiLevelType w:val="multilevel"/>
    <w:tmpl w:val="08BA29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96536C"/>
    <w:multiLevelType w:val="multilevel"/>
    <w:tmpl w:val="600E60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E87217"/>
    <w:multiLevelType w:val="multilevel"/>
    <w:tmpl w:val="3C4E0E0E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F49EC"/>
    <w:multiLevelType w:val="multilevel"/>
    <w:tmpl w:val="6CA8F9C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D296532"/>
    <w:multiLevelType w:val="multilevel"/>
    <w:tmpl w:val="166205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E80591C"/>
    <w:multiLevelType w:val="multilevel"/>
    <w:tmpl w:val="A92A63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EBD73D0"/>
    <w:multiLevelType w:val="multilevel"/>
    <w:tmpl w:val="773A58AA"/>
    <w:lvl w:ilvl="0">
      <w:start w:val="1"/>
      <w:numFmt w:val="decimal"/>
      <w:lvlText w:val="3,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215809"/>
    <w:multiLevelType w:val="multilevel"/>
    <w:tmpl w:val="58866120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257BC2"/>
    <w:multiLevelType w:val="multilevel"/>
    <w:tmpl w:val="3BEAF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F855E9E"/>
    <w:multiLevelType w:val="multilevel"/>
    <w:tmpl w:val="1BEEBB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0"/>
  </w:num>
  <w:num w:numId="2">
    <w:abstractNumId w:val="107"/>
  </w:num>
  <w:num w:numId="3">
    <w:abstractNumId w:val="16"/>
  </w:num>
  <w:num w:numId="4">
    <w:abstractNumId w:val="71"/>
  </w:num>
  <w:num w:numId="5">
    <w:abstractNumId w:val="106"/>
  </w:num>
  <w:num w:numId="6">
    <w:abstractNumId w:val="53"/>
  </w:num>
  <w:num w:numId="7">
    <w:abstractNumId w:val="32"/>
  </w:num>
  <w:num w:numId="8">
    <w:abstractNumId w:val="29"/>
  </w:num>
  <w:num w:numId="9">
    <w:abstractNumId w:val="57"/>
  </w:num>
  <w:num w:numId="10">
    <w:abstractNumId w:val="102"/>
  </w:num>
  <w:num w:numId="11">
    <w:abstractNumId w:val="96"/>
  </w:num>
  <w:num w:numId="12">
    <w:abstractNumId w:val="98"/>
  </w:num>
  <w:num w:numId="13">
    <w:abstractNumId w:val="79"/>
  </w:num>
  <w:num w:numId="14">
    <w:abstractNumId w:val="11"/>
  </w:num>
  <w:num w:numId="15">
    <w:abstractNumId w:val="78"/>
  </w:num>
  <w:num w:numId="16">
    <w:abstractNumId w:val="5"/>
  </w:num>
  <w:num w:numId="17">
    <w:abstractNumId w:val="7"/>
  </w:num>
  <w:num w:numId="18">
    <w:abstractNumId w:val="43"/>
  </w:num>
  <w:num w:numId="19">
    <w:abstractNumId w:val="55"/>
  </w:num>
  <w:num w:numId="20">
    <w:abstractNumId w:val="101"/>
  </w:num>
  <w:num w:numId="21">
    <w:abstractNumId w:val="74"/>
  </w:num>
  <w:num w:numId="22">
    <w:abstractNumId w:val="47"/>
  </w:num>
  <w:num w:numId="23">
    <w:abstractNumId w:val="64"/>
  </w:num>
  <w:num w:numId="24">
    <w:abstractNumId w:val="54"/>
  </w:num>
  <w:num w:numId="25">
    <w:abstractNumId w:val="1"/>
  </w:num>
  <w:num w:numId="26">
    <w:abstractNumId w:val="86"/>
  </w:num>
  <w:num w:numId="27">
    <w:abstractNumId w:val="25"/>
  </w:num>
  <w:num w:numId="28">
    <w:abstractNumId w:val="70"/>
  </w:num>
  <w:num w:numId="29">
    <w:abstractNumId w:val="60"/>
  </w:num>
  <w:num w:numId="30">
    <w:abstractNumId w:val="103"/>
  </w:num>
  <w:num w:numId="31">
    <w:abstractNumId w:val="67"/>
  </w:num>
  <w:num w:numId="32">
    <w:abstractNumId w:val="49"/>
  </w:num>
  <w:num w:numId="33">
    <w:abstractNumId w:val="39"/>
  </w:num>
  <w:num w:numId="34">
    <w:abstractNumId w:val="6"/>
  </w:num>
  <w:num w:numId="35">
    <w:abstractNumId w:val="105"/>
  </w:num>
  <w:num w:numId="36">
    <w:abstractNumId w:val="65"/>
  </w:num>
  <w:num w:numId="37">
    <w:abstractNumId w:val="59"/>
  </w:num>
  <w:num w:numId="38">
    <w:abstractNumId w:val="93"/>
  </w:num>
  <w:num w:numId="39">
    <w:abstractNumId w:val="84"/>
  </w:num>
  <w:num w:numId="40">
    <w:abstractNumId w:val="88"/>
  </w:num>
  <w:num w:numId="41">
    <w:abstractNumId w:val="100"/>
  </w:num>
  <w:num w:numId="42">
    <w:abstractNumId w:val="61"/>
  </w:num>
  <w:num w:numId="43">
    <w:abstractNumId w:val="15"/>
  </w:num>
  <w:num w:numId="44">
    <w:abstractNumId w:val="91"/>
  </w:num>
  <w:num w:numId="45">
    <w:abstractNumId w:val="83"/>
  </w:num>
  <w:num w:numId="46">
    <w:abstractNumId w:val="42"/>
  </w:num>
  <w:num w:numId="47">
    <w:abstractNumId w:val="81"/>
  </w:num>
  <w:num w:numId="48">
    <w:abstractNumId w:val="18"/>
  </w:num>
  <w:num w:numId="49">
    <w:abstractNumId w:val="72"/>
  </w:num>
  <w:num w:numId="50">
    <w:abstractNumId w:val="19"/>
  </w:num>
  <w:num w:numId="51">
    <w:abstractNumId w:val="62"/>
  </w:num>
  <w:num w:numId="52">
    <w:abstractNumId w:val="51"/>
  </w:num>
  <w:num w:numId="53">
    <w:abstractNumId w:val="9"/>
  </w:num>
  <w:num w:numId="54">
    <w:abstractNumId w:val="73"/>
  </w:num>
  <w:num w:numId="55">
    <w:abstractNumId w:val="24"/>
  </w:num>
  <w:num w:numId="56">
    <w:abstractNumId w:val="36"/>
  </w:num>
  <w:num w:numId="57">
    <w:abstractNumId w:val="69"/>
  </w:num>
  <w:num w:numId="58">
    <w:abstractNumId w:val="27"/>
  </w:num>
  <w:num w:numId="59">
    <w:abstractNumId w:val="13"/>
  </w:num>
  <w:num w:numId="60">
    <w:abstractNumId w:val="48"/>
  </w:num>
  <w:num w:numId="61">
    <w:abstractNumId w:val="12"/>
  </w:num>
  <w:num w:numId="62">
    <w:abstractNumId w:val="4"/>
  </w:num>
  <w:num w:numId="63">
    <w:abstractNumId w:val="77"/>
  </w:num>
  <w:num w:numId="64">
    <w:abstractNumId w:val="45"/>
  </w:num>
  <w:num w:numId="65">
    <w:abstractNumId w:val="97"/>
  </w:num>
  <w:num w:numId="66">
    <w:abstractNumId w:val="40"/>
  </w:num>
  <w:num w:numId="67">
    <w:abstractNumId w:val="82"/>
  </w:num>
  <w:num w:numId="68">
    <w:abstractNumId w:val="52"/>
  </w:num>
  <w:num w:numId="69">
    <w:abstractNumId w:val="17"/>
  </w:num>
  <w:num w:numId="70">
    <w:abstractNumId w:val="89"/>
  </w:num>
  <w:num w:numId="71">
    <w:abstractNumId w:val="20"/>
  </w:num>
  <w:num w:numId="72">
    <w:abstractNumId w:val="80"/>
  </w:num>
  <w:num w:numId="73">
    <w:abstractNumId w:val="2"/>
  </w:num>
  <w:num w:numId="74">
    <w:abstractNumId w:val="58"/>
  </w:num>
  <w:num w:numId="75">
    <w:abstractNumId w:val="10"/>
  </w:num>
  <w:num w:numId="76">
    <w:abstractNumId w:val="37"/>
  </w:num>
  <w:num w:numId="77">
    <w:abstractNumId w:val="28"/>
  </w:num>
  <w:num w:numId="78">
    <w:abstractNumId w:val="46"/>
  </w:num>
  <w:num w:numId="79">
    <w:abstractNumId w:val="44"/>
  </w:num>
  <w:num w:numId="80">
    <w:abstractNumId w:val="56"/>
  </w:num>
  <w:num w:numId="81">
    <w:abstractNumId w:val="26"/>
  </w:num>
  <w:num w:numId="82">
    <w:abstractNumId w:val="85"/>
  </w:num>
  <w:num w:numId="83">
    <w:abstractNumId w:val="30"/>
  </w:num>
  <w:num w:numId="84">
    <w:abstractNumId w:val="22"/>
  </w:num>
  <w:num w:numId="85">
    <w:abstractNumId w:val="38"/>
  </w:num>
  <w:num w:numId="86">
    <w:abstractNumId w:val="66"/>
  </w:num>
  <w:num w:numId="87">
    <w:abstractNumId w:val="104"/>
  </w:num>
  <w:num w:numId="88">
    <w:abstractNumId w:val="8"/>
  </w:num>
  <w:num w:numId="89">
    <w:abstractNumId w:val="92"/>
  </w:num>
  <w:num w:numId="90">
    <w:abstractNumId w:val="99"/>
  </w:num>
  <w:num w:numId="91">
    <w:abstractNumId w:val="94"/>
  </w:num>
  <w:num w:numId="92">
    <w:abstractNumId w:val="3"/>
  </w:num>
  <w:num w:numId="93">
    <w:abstractNumId w:val="87"/>
  </w:num>
  <w:num w:numId="94">
    <w:abstractNumId w:val="63"/>
  </w:num>
  <w:num w:numId="95">
    <w:abstractNumId w:val="41"/>
  </w:num>
  <w:num w:numId="96">
    <w:abstractNumId w:val="34"/>
  </w:num>
  <w:num w:numId="97">
    <w:abstractNumId w:val="0"/>
  </w:num>
  <w:num w:numId="98">
    <w:abstractNumId w:val="50"/>
  </w:num>
  <w:num w:numId="99">
    <w:abstractNumId w:val="14"/>
  </w:num>
  <w:num w:numId="100">
    <w:abstractNumId w:val="31"/>
  </w:num>
  <w:num w:numId="101">
    <w:abstractNumId w:val="21"/>
  </w:num>
  <w:num w:numId="102">
    <w:abstractNumId w:val="33"/>
  </w:num>
  <w:num w:numId="103">
    <w:abstractNumId w:val="68"/>
  </w:num>
  <w:num w:numId="104">
    <w:abstractNumId w:val="76"/>
  </w:num>
  <w:num w:numId="105">
    <w:abstractNumId w:val="23"/>
  </w:num>
  <w:num w:numId="106">
    <w:abstractNumId w:val="35"/>
  </w:num>
  <w:num w:numId="107">
    <w:abstractNumId w:val="75"/>
  </w:num>
  <w:num w:numId="108">
    <w:abstractNumId w:val="9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1EA6"/>
    <w:rsid w:val="00236828"/>
    <w:rsid w:val="002B42A1"/>
    <w:rsid w:val="00494128"/>
    <w:rsid w:val="005677B5"/>
    <w:rsid w:val="00601EA6"/>
    <w:rsid w:val="009920C5"/>
    <w:rsid w:val="00C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00F9-97C2-45E2-B947-3903BC19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2021-06-01T10:43:00Z</cp:lastPrinted>
  <dcterms:created xsi:type="dcterms:W3CDTF">2021-06-01T10:17:00Z</dcterms:created>
  <dcterms:modified xsi:type="dcterms:W3CDTF">2021-06-29T09:25:00Z</dcterms:modified>
</cp:coreProperties>
</file>